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7B1D" w14:textId="77777777" w:rsidR="00B46906" w:rsidRPr="00A81BF7" w:rsidRDefault="00B46906" w:rsidP="00B46906">
      <w:pPr>
        <w:pStyle w:val="NoSpacing"/>
        <w:jc w:val="right"/>
        <w:rPr>
          <w:rFonts w:ascii="Times New Roman" w:hAnsi="Times New Roman"/>
          <w:sz w:val="24"/>
          <w:szCs w:val="24"/>
        </w:rPr>
      </w:pPr>
      <w:r w:rsidRPr="00A81BF7">
        <w:rPr>
          <w:rFonts w:ascii="Times New Roman" w:hAnsi="Times New Roman"/>
          <w:sz w:val="24"/>
          <w:szCs w:val="24"/>
        </w:rPr>
        <w:t>Kinnitatud</w:t>
      </w:r>
    </w:p>
    <w:p w14:paraId="4F17ECEA" w14:textId="7A578ED7" w:rsidR="00B46906" w:rsidRPr="00A81BF7" w:rsidRDefault="00DD2807" w:rsidP="00B46906">
      <w:pPr>
        <w:jc w:val="right"/>
        <w:rPr>
          <w:rFonts w:ascii="Times New Roman" w:hAnsi="Times New Roman"/>
          <w:lang w:val="et-EE" w:eastAsia="et-EE"/>
        </w:rPr>
      </w:pPr>
      <w:r>
        <w:rPr>
          <w:rFonts w:ascii="Times New Roman" w:hAnsi="Times New Roman"/>
          <w:lang w:val="et-EE" w:eastAsia="et-EE"/>
        </w:rPr>
        <w:t>Tervisekassa</w:t>
      </w:r>
      <w:r w:rsidR="00B46906" w:rsidRPr="00A81BF7">
        <w:rPr>
          <w:rFonts w:ascii="Times New Roman" w:hAnsi="Times New Roman"/>
          <w:lang w:val="et-EE" w:eastAsia="et-EE"/>
        </w:rPr>
        <w:t xml:space="preserve"> nõukogu</w:t>
      </w:r>
    </w:p>
    <w:p w14:paraId="63E8A918" w14:textId="77777777" w:rsidR="00B46906" w:rsidRPr="00A81BF7" w:rsidRDefault="00B46906" w:rsidP="00B46906">
      <w:pPr>
        <w:jc w:val="right"/>
        <w:rPr>
          <w:rFonts w:ascii="Times New Roman" w:hAnsi="Times New Roman"/>
          <w:lang w:val="et-EE" w:eastAsia="et-EE"/>
        </w:rPr>
      </w:pPr>
      <w:r>
        <w:rPr>
          <w:rFonts w:ascii="Times New Roman" w:hAnsi="Times New Roman"/>
          <w:lang w:val="et-EE" w:eastAsia="et-EE"/>
        </w:rPr>
        <w:t xml:space="preserve">21. veebruari </w:t>
      </w:r>
      <w:r w:rsidRPr="00A81BF7">
        <w:rPr>
          <w:rFonts w:ascii="Times New Roman" w:hAnsi="Times New Roman"/>
          <w:lang w:val="et-EE" w:eastAsia="et-EE"/>
        </w:rPr>
        <w:t>20</w:t>
      </w:r>
      <w:r>
        <w:rPr>
          <w:rFonts w:ascii="Times New Roman" w:hAnsi="Times New Roman"/>
          <w:lang w:val="et-EE" w:eastAsia="et-EE"/>
        </w:rPr>
        <w:t>20.</w:t>
      </w:r>
      <w:r w:rsidRPr="00A81BF7">
        <w:rPr>
          <w:rFonts w:ascii="Times New Roman" w:hAnsi="Times New Roman"/>
          <w:lang w:val="et-EE" w:eastAsia="et-EE"/>
        </w:rPr>
        <w:t xml:space="preserve"> a otsusega nr</w:t>
      </w:r>
      <w:r>
        <w:rPr>
          <w:rFonts w:ascii="Times New Roman" w:hAnsi="Times New Roman"/>
          <w:lang w:val="et-EE" w:eastAsia="et-EE"/>
        </w:rPr>
        <w:t xml:space="preserve"> 5</w:t>
      </w:r>
      <w:r w:rsidRPr="00A81BF7">
        <w:rPr>
          <w:rFonts w:ascii="Times New Roman" w:hAnsi="Times New Roman"/>
          <w:lang w:val="et-EE" w:eastAsia="et-EE"/>
        </w:rPr>
        <w:t xml:space="preserve"> </w:t>
      </w:r>
    </w:p>
    <w:p w14:paraId="6FABE09F" w14:textId="77777777" w:rsidR="00B46906" w:rsidRPr="00A81BF7" w:rsidRDefault="00B46906" w:rsidP="00B46906">
      <w:pPr>
        <w:jc w:val="right"/>
        <w:rPr>
          <w:rFonts w:ascii="Times New Roman" w:hAnsi="Times New Roman"/>
          <w:lang w:val="et-EE" w:eastAsia="et-EE"/>
        </w:rPr>
      </w:pPr>
    </w:p>
    <w:p w14:paraId="2FD52AF9" w14:textId="77777777" w:rsidR="00B46906" w:rsidRPr="00A81BF7" w:rsidRDefault="00B46906" w:rsidP="00B46906">
      <w:pPr>
        <w:spacing w:after="300" w:line="540" w:lineRule="atLeast"/>
        <w:textAlignment w:val="baseline"/>
        <w:outlineLvl w:val="0"/>
        <w:rPr>
          <w:rFonts w:ascii="Times" w:eastAsia="Times New Roman" w:hAnsi="Times" w:cs="Arial"/>
          <w:kern w:val="36"/>
          <w:sz w:val="48"/>
          <w:szCs w:val="48"/>
          <w:lang w:val="et-EE"/>
        </w:rPr>
      </w:pPr>
      <w:r w:rsidRPr="00A81BF7">
        <w:rPr>
          <w:rFonts w:ascii="Times" w:eastAsia="Times New Roman" w:hAnsi="Times" w:cs="Arial"/>
          <w:kern w:val="36"/>
          <w:sz w:val="48"/>
          <w:szCs w:val="48"/>
          <w:lang w:val="et-EE"/>
        </w:rPr>
        <w:t>Kindlustatud isikuga võrdsustamise lepingu tüüptingimused</w:t>
      </w:r>
    </w:p>
    <w:p w14:paraId="1FDE6C00"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14:paraId="32E1F1CD"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val="et-EE"/>
        </w:rPr>
        <w:t>TÜÜPTINGIMUSED</w:t>
      </w:r>
    </w:p>
    <w:p w14:paraId="210608FC" w14:textId="0E3E9C75"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Käesolevad tüüptingimused (edaspidi </w:t>
      </w:r>
      <w:r w:rsidRPr="00A81BF7">
        <w:rPr>
          <w:rFonts w:ascii="Times New Roman" w:eastAsia="Times New Roman" w:hAnsi="Times New Roman"/>
          <w:i/>
          <w:color w:val="202020"/>
          <w:lang w:val="et-EE"/>
        </w:rPr>
        <w:t>tüüptingimused</w:t>
      </w:r>
      <w:r w:rsidRPr="00A81BF7">
        <w:rPr>
          <w:rFonts w:ascii="Times New Roman" w:eastAsia="Times New Roman" w:hAnsi="Times New Roman"/>
          <w:color w:val="202020"/>
          <w:lang w:val="et-EE"/>
        </w:rPr>
        <w:t xml:space="preserve">) on </w:t>
      </w:r>
      <w:r w:rsidR="00DD2807">
        <w:rPr>
          <w:rFonts w:ascii="Times New Roman" w:eastAsia="Times New Roman" w:hAnsi="Times New Roman"/>
          <w:color w:val="202020"/>
          <w:lang w:val="et-EE"/>
        </w:rPr>
        <w:t>Tervisekassa</w:t>
      </w:r>
      <w:r w:rsidR="00BA6C16">
        <w:rPr>
          <w:rFonts w:ascii="Times New Roman" w:eastAsia="Times New Roman" w:hAnsi="Times New Roman"/>
          <w:color w:val="202020"/>
          <w:lang w:val="et-EE"/>
        </w:rPr>
        <w:t xml:space="preserve"> </w:t>
      </w:r>
      <w:r w:rsidRPr="00A81BF7">
        <w:rPr>
          <w:rFonts w:ascii="Times New Roman" w:eastAsia="Times New Roman" w:hAnsi="Times New Roman"/>
          <w:color w:val="202020"/>
          <w:lang w:val="et-EE"/>
        </w:rPr>
        <w:t xml:space="preserve">ja kindlustusvõtja vahel kindlustusvõtja (edaspidi sel juhul ka </w:t>
      </w:r>
      <w:r w:rsidRPr="00A81BF7">
        <w:rPr>
          <w:rFonts w:ascii="Times New Roman" w:eastAsia="Times New Roman" w:hAnsi="Times New Roman"/>
          <w:i/>
          <w:color w:val="202020"/>
          <w:lang w:val="et-EE"/>
        </w:rPr>
        <w:t>kindlustatud isik</w:t>
      </w:r>
      <w:r w:rsidRPr="00A81BF7">
        <w:rPr>
          <w:rFonts w:ascii="Times New Roman" w:eastAsia="Times New Roman" w:hAnsi="Times New Roman"/>
          <w:color w:val="202020"/>
          <w:lang w:val="et-EE"/>
        </w:rPr>
        <w:t xml:space="preserve">) või nimeliselt määratletud kolmanda isiku (edaspidi </w:t>
      </w:r>
      <w:r w:rsidRPr="00A81BF7">
        <w:rPr>
          <w:rFonts w:ascii="Times New Roman" w:eastAsia="Times New Roman" w:hAnsi="Times New Roman"/>
          <w:i/>
          <w:color w:val="202020"/>
          <w:lang w:val="et-EE"/>
        </w:rPr>
        <w:t>kindlustatud isik</w:t>
      </w:r>
      <w:r w:rsidRPr="00A81BF7">
        <w:rPr>
          <w:rFonts w:ascii="Times New Roman" w:eastAsia="Times New Roman" w:hAnsi="Times New Roman"/>
          <w:color w:val="202020"/>
          <w:lang w:val="et-EE"/>
        </w:rPr>
        <w:t xml:space="preserve">) kasuks sõlmitava lepingu, mille alusel kindlustatud isik võrdsustatakse ravikindlustuse seaduse alusel kindlustatud isikuga, (edaspidi </w:t>
      </w:r>
      <w:r w:rsidRPr="00A81BF7">
        <w:rPr>
          <w:rFonts w:ascii="Times New Roman" w:eastAsia="Times New Roman" w:hAnsi="Times New Roman"/>
          <w:i/>
          <w:color w:val="202020"/>
          <w:lang w:val="et-EE"/>
        </w:rPr>
        <w:t>leping</w:t>
      </w:r>
      <w:r w:rsidRPr="00A81BF7">
        <w:rPr>
          <w:rFonts w:ascii="Times New Roman" w:eastAsia="Times New Roman" w:hAnsi="Times New Roman"/>
          <w:color w:val="202020"/>
          <w:lang w:val="et-EE"/>
        </w:rPr>
        <w:t>) lahutamatuks osaks.</w:t>
      </w:r>
    </w:p>
    <w:p w14:paraId="7F937845"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14:paraId="5779EF45"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val="et-EE"/>
        </w:rPr>
        <w:t>1. LEPINGU SÕLMIMINE JA KINDLUSTUSKAITSE TEKKIMINE</w:t>
      </w:r>
    </w:p>
    <w:p w14:paraId="7BDCFBCF" w14:textId="577CD540"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1.1. Kindlustuskaitse taotlemiseks esitab kindlustusvõtja </w:t>
      </w:r>
      <w:r w:rsidR="00DD2807">
        <w:rPr>
          <w:rFonts w:ascii="Times New Roman" w:eastAsia="Times New Roman" w:hAnsi="Times New Roman"/>
          <w:color w:val="202020"/>
          <w:lang w:val="et-EE"/>
        </w:rPr>
        <w:t>Tervisekassale</w:t>
      </w:r>
      <w:r w:rsidRPr="00A81BF7">
        <w:rPr>
          <w:rFonts w:ascii="Times New Roman" w:eastAsia="Times New Roman" w:hAnsi="Times New Roman"/>
          <w:color w:val="202020"/>
          <w:lang w:val="et-EE"/>
        </w:rPr>
        <w:t>le vormikohase kirjaliku avalduse.</w:t>
      </w:r>
    </w:p>
    <w:p w14:paraId="67B53AEB" w14:textId="70DC753F"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1.2. Kindlustusvõtja peab lepingu sõlmimisel teatama</w:t>
      </w:r>
      <w:r w:rsidR="00DD2807">
        <w:rPr>
          <w:rFonts w:ascii="Times New Roman" w:eastAsia="Times New Roman" w:hAnsi="Times New Roman"/>
          <w:color w:val="202020"/>
          <w:lang w:val="et-EE"/>
        </w:rPr>
        <w:t xml:space="preserve"> Tervisekassale </w:t>
      </w:r>
      <w:r w:rsidRPr="00A81BF7">
        <w:rPr>
          <w:rFonts w:ascii="Times New Roman" w:eastAsia="Times New Roman" w:hAnsi="Times New Roman"/>
          <w:color w:val="202020"/>
          <w:lang w:val="et-EE"/>
        </w:rPr>
        <w:t xml:space="preserve">kõigist talle teada olevatest asjaoludest, millel on nende olemusest tulenevalt mõju </w:t>
      </w:r>
      <w:r w:rsidR="00DD2807">
        <w:rPr>
          <w:rFonts w:ascii="Times New Roman" w:eastAsia="Times New Roman" w:hAnsi="Times New Roman"/>
          <w:color w:val="202020"/>
          <w:lang w:val="et-EE"/>
        </w:rPr>
        <w:t>Tervisekassa</w:t>
      </w:r>
      <w:r w:rsidRPr="00A81BF7">
        <w:rPr>
          <w:rFonts w:ascii="Times New Roman" w:eastAsia="Times New Roman" w:hAnsi="Times New Roman"/>
          <w:color w:val="202020"/>
          <w:lang w:val="et-EE"/>
        </w:rPr>
        <w:t xml:space="preserve"> otsusele leping sõlmida.</w:t>
      </w:r>
    </w:p>
    <w:p w14:paraId="2EA239FD"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1.3. Kindlustatud isiku kindlustuskaitse tekib ravikindlustuse seaduse § 24 lõike 4 kohaselt 1 (ühe) kuu möödumisel lepingu sõlmimisest.</w:t>
      </w:r>
    </w:p>
    <w:p w14:paraId="209778FA"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1.4. Kui leping sõlmitakse ajal, mil kindlustatud isikul on sundkindlustuskaitse ravikindlustuse seaduse alusel, tekib kindlustuskaitse lepingu alusel alates kehtiva sundkindlustuskaitse lõppemisest katkemiseta.</w:t>
      </w:r>
    </w:p>
    <w:p w14:paraId="6E08CF08"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1.5. Kui uus leping sõlmitakse varem sõlmitud lepingu kehtivuse ajal, tekib kindlustuskaitse uue lepingu alusel arvates varem sõlmitud lepingu alusel kindlustuskaitse lõppemisest.</w:t>
      </w:r>
    </w:p>
    <w:p w14:paraId="62FB594B" w14:textId="71A1400E"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1.6. </w:t>
      </w:r>
      <w:r w:rsidR="009354B1">
        <w:rPr>
          <w:rFonts w:ascii="Times New Roman" w:eastAsia="Times New Roman" w:hAnsi="Times New Roman"/>
          <w:color w:val="202020"/>
          <w:lang w:val="et-EE"/>
        </w:rPr>
        <w:t>Tervisekassa</w:t>
      </w:r>
      <w:r w:rsidRPr="00A81BF7">
        <w:rPr>
          <w:rFonts w:ascii="Times New Roman" w:eastAsia="Times New Roman" w:hAnsi="Times New Roman"/>
          <w:color w:val="202020"/>
          <w:lang w:val="et-EE"/>
        </w:rPr>
        <w:t xml:space="preserve"> kannab kindlustatud isiku andmed kindlustuskaitse tekkimiseks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andmekogusse.</w:t>
      </w:r>
    </w:p>
    <w:p w14:paraId="5F9D87F5" w14:textId="77777777" w:rsidR="00B46906" w:rsidRPr="00A81BF7" w:rsidRDefault="00B46906" w:rsidP="00B46906">
      <w:pPr>
        <w:spacing w:line="300" w:lineRule="atLeast"/>
        <w:jc w:val="both"/>
        <w:textAlignment w:val="baseline"/>
        <w:rPr>
          <w:rFonts w:ascii="Times New Roman" w:eastAsia="Times New Roman" w:hAnsi="Times New Roman"/>
          <w:color w:val="202020"/>
          <w:bdr w:val="none" w:sz="0" w:space="0" w:color="auto" w:frame="1"/>
          <w:lang w:val="et-EE"/>
        </w:rPr>
      </w:pPr>
    </w:p>
    <w:p w14:paraId="3975A98E"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bdr w:val="none" w:sz="0" w:space="0" w:color="auto" w:frame="1"/>
          <w:lang w:val="et-EE"/>
        </w:rPr>
        <w:t>2. KINDLUSTUSKAITSE ULATUS JA PIIRANGUD</w:t>
      </w:r>
    </w:p>
    <w:p w14:paraId="71F68779"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2.1. Alates kindlustuskaitse tekkimisest on kindlustatud isikul õigus taotleda Euroopa ravikindlustuskaarti valdkonna eest vastutava ministri poolt ravikindlustuse seaduse § 21 lõike 3 alusel kehtestatud korras.</w:t>
      </w:r>
    </w:p>
    <w:p w14:paraId="19B81376"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2.2. Ravikindlustuse seaduse § 21 lõike 4 kohaselt ei tohi kindlustatud isik pärast kindlustuskaitse peatumist või lõppemist Euroopa ravikindlustuskaarti kasutada.</w:t>
      </w:r>
    </w:p>
    <w:p w14:paraId="45CF5BED" w14:textId="67CF185A"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2.3. </w:t>
      </w:r>
      <w:bookmarkStart w:id="0" w:name="_Hlk22201269"/>
      <w:r w:rsidR="00BA6C16">
        <w:rPr>
          <w:rFonts w:ascii="Times New Roman" w:eastAsia="Times New Roman" w:hAnsi="Times New Roman"/>
          <w:color w:val="202020"/>
          <w:lang w:val="et-EE"/>
        </w:rPr>
        <w:t>Tervisekassa</w:t>
      </w:r>
      <w:r w:rsidRPr="00A81BF7">
        <w:rPr>
          <w:rFonts w:ascii="Times New Roman" w:eastAsia="Times New Roman" w:hAnsi="Times New Roman"/>
          <w:color w:val="202020"/>
          <w:lang w:val="et-EE"/>
        </w:rPr>
        <w:t xml:space="preserve"> võimaldab kindlustatud isikule ravikindlustuse seaduses sätestatud tingimustel ja ulatuses mitterahalisi ravikindlustushüvitisi ja maksab rahalisi ravikindlustushüvitisi, v.a ajutise töövõimetuse hüvitist. </w:t>
      </w:r>
    </w:p>
    <w:bookmarkEnd w:id="0"/>
    <w:p w14:paraId="3F066691" w14:textId="50837024"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2.4. Kindlustatud isikul ei ole õigust nõuda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kassalt seoses tervishoiuteenuste, ravimite või meditsiiniseadmete saamisega kindlustusvõtja poolt kindlustatud isiku eest või kindlustatud isiku enda poolt kantud kulutuste hüvitamist.</w:t>
      </w:r>
    </w:p>
    <w:p w14:paraId="7399AFD9" w14:textId="5230255A"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2.5. </w:t>
      </w:r>
      <w:r w:rsidR="00BA6C16">
        <w:rPr>
          <w:rFonts w:ascii="Times New Roman" w:eastAsia="Times New Roman" w:hAnsi="Times New Roman"/>
          <w:color w:val="202020"/>
          <w:lang w:val="et-EE"/>
        </w:rPr>
        <w:t>Tervisekassa</w:t>
      </w:r>
      <w:r w:rsidRPr="00A81BF7">
        <w:rPr>
          <w:rFonts w:ascii="Times New Roman" w:eastAsia="Times New Roman" w:hAnsi="Times New Roman"/>
          <w:color w:val="202020"/>
          <w:lang w:val="et-EE"/>
        </w:rPr>
        <w:t xml:space="preserve"> ei hüvita kindlustatud isikule ravikindlustuse seaduse 3. peatüki 6. jaos sätestatud lisatasu ega kindlustatud isiku täiendavat omaosalust.</w:t>
      </w:r>
    </w:p>
    <w:p w14:paraId="69FC1C9A" w14:textId="77777777" w:rsidR="00B46906" w:rsidRPr="00A81BF7" w:rsidRDefault="00B46906" w:rsidP="00B46906">
      <w:pPr>
        <w:rPr>
          <w:rFonts w:ascii="Times New Roman" w:eastAsia="Times New Roman" w:hAnsi="Times New Roman"/>
          <w:color w:val="202020"/>
          <w:lang w:val="et-EE"/>
        </w:rPr>
      </w:pPr>
      <w:r w:rsidRPr="00A81BF7">
        <w:rPr>
          <w:rFonts w:ascii="Times New Roman" w:eastAsia="Times New Roman" w:hAnsi="Times New Roman"/>
          <w:color w:val="202020"/>
          <w:lang w:val="et-EE"/>
        </w:rPr>
        <w:lastRenderedPageBreak/>
        <w:t>2.6. Kindlustatud isik kaotab õiguse saada tüüptingimuste punktis 2.3. nimetatud hüvitisi, kui:</w:t>
      </w:r>
    </w:p>
    <w:p w14:paraId="07E23B0E"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2.6.1. tema hüvitiste saamise vajadus on tekkinud seoses osalemisega teadusuuringus, sealhulgas kliinilises ravimiuuringus;</w:t>
      </w:r>
    </w:p>
    <w:p w14:paraId="0D004C46"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2.6.2. ta ei täida arsti või </w:t>
      </w:r>
      <w:proofErr w:type="spellStart"/>
      <w:r w:rsidRPr="00A81BF7">
        <w:rPr>
          <w:rFonts w:ascii="Times New Roman" w:eastAsia="Times New Roman" w:hAnsi="Times New Roman"/>
          <w:color w:val="202020"/>
          <w:lang w:val="et-EE"/>
        </w:rPr>
        <w:t>pereõe</w:t>
      </w:r>
      <w:proofErr w:type="spellEnd"/>
      <w:r w:rsidRPr="00A81BF7">
        <w:rPr>
          <w:rFonts w:ascii="Times New Roman" w:eastAsia="Times New Roman" w:hAnsi="Times New Roman"/>
          <w:color w:val="202020"/>
          <w:lang w:val="et-EE"/>
        </w:rPr>
        <w:t xml:space="preserve"> poolt haigusjuhtumi ennetamiseks või selle vastu määratud meditsiiniliselt põhjendatud ravi, välja arvatud ravikindlustuse seaduse § 28 lõikes 4 sätestatud juhul.  </w:t>
      </w:r>
    </w:p>
    <w:p w14:paraId="5F7AD825" w14:textId="7E0AC038"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2.7. Tüüptingimuste punktis 2.6.2. nimetatud kindlustushüvitise saamise õiguse kaotamise otsustab </w:t>
      </w:r>
      <w:r w:rsidR="00BA6C16">
        <w:rPr>
          <w:rFonts w:ascii="Times New Roman" w:eastAsia="Times New Roman" w:hAnsi="Times New Roman"/>
          <w:color w:val="202020"/>
          <w:lang w:val="et-EE"/>
        </w:rPr>
        <w:t>Tervisekassa</w:t>
      </w:r>
      <w:r w:rsidRPr="00A81BF7">
        <w:rPr>
          <w:rFonts w:ascii="Times New Roman" w:eastAsia="Times New Roman" w:hAnsi="Times New Roman"/>
          <w:color w:val="202020"/>
          <w:lang w:val="et-EE"/>
        </w:rPr>
        <w:t xml:space="preserve"> haldusmenetluse seaduses ja teistes õigusaktides sätestatud korras. Kindlustatud isikul on õigus algatada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otsuse suhtes haldusmenetluse seaduses sätestatud korras vaidemenetlus, arvates otsuse kättesaamisest 10 (kümne) kalendripäeva jooksul.</w:t>
      </w:r>
    </w:p>
    <w:p w14:paraId="06C2DE8F"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14:paraId="7CE0C2A0"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val="et-EE"/>
        </w:rPr>
        <w:t>3. LEPINGU TÄHTAEG JA KINDLUSTUSMAKSED</w:t>
      </w:r>
    </w:p>
    <w:p w14:paraId="55977A8C"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3.1. Lepingu tähtaeg on 1 (üks) kuni 5 (viis) aastat. </w:t>
      </w:r>
    </w:p>
    <w:p w14:paraId="2F45219B"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3.2. Kindlustuskaitse algab tüüptingimuste punktides 1.3.–1.5. sätestatud ajal ja lõpeb lepingu lõppedes. </w:t>
      </w:r>
    </w:p>
    <w:p w14:paraId="0A26FB7F" w14:textId="69D12F7F"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3.3. Lepingu alusel kalendrikuus makstava kindlustusmakse suurus on arvu 0,13 ja viimati Statistikaameti avaldatud eelmise kalendriaasta keskmise kuubrutopalga korrutis,</w:t>
      </w:r>
      <w:r w:rsidRPr="00A81BF7">
        <w:rPr>
          <w:lang w:val="et-EE"/>
        </w:rPr>
        <w:t xml:space="preserve"> </w:t>
      </w:r>
      <w:r w:rsidRPr="00A81BF7">
        <w:rPr>
          <w:rFonts w:ascii="Times New Roman" w:eastAsia="Times New Roman" w:hAnsi="Times New Roman"/>
          <w:color w:val="202020"/>
          <w:lang w:val="et-EE"/>
        </w:rPr>
        <w:t xml:space="preserve">mis on ümardatud 10 (kümne) sendi täpsusega.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 on õigus kalendrikuus makstava kindlustusmakse suurust muuta kord aastas pärast Statistikaameti poolt eelmise kalendriaasta keskmise kuubrutopalga avaldamist.</w:t>
      </w:r>
    </w:p>
    <w:p w14:paraId="148AF5DB"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3.4. Kindlustusvõtja kohustub tasuma kindlustusmakseid kindlustusperioodi eest ette 3 (kolme) kuu või 1 (ühe) aasta kaupa. Kindlustusvõtjal ei ole õigust tasuda kindlustusmakseid muude perioodide kaupa.</w:t>
      </w:r>
    </w:p>
    <w:p w14:paraId="3206874F" w14:textId="018B8529"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3.5. Esimese kindlustusmakse tasumiseks väljastab </w:t>
      </w:r>
      <w:r w:rsidR="00290131">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kindlustusvõtjale arve 5 (viie) kalendripäeva jooksul lepingu sõlmimisest arvates. Kindlustusvõtja peab tasuma esimese kindlustusmakse lepingu sõlmimisest arvates 14 (neljateistkümne) kalendripäeva jooksul.</w:t>
      </w:r>
    </w:p>
    <w:p w14:paraId="3F81B6BE" w14:textId="21E69B79"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3.6. Kolme kuu kaupa tasumisel väljastab </w:t>
      </w:r>
      <w:r w:rsidR="00290131">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kindlustusvõtjale arve järgneva kindlustusmakse tasumiseks vähemalt 14 (neliteist) kalendripäeva enne järgneva kolmekuulise perioodi algust. Järgneva kindlustusmakse tasumise tähtpäevaks on arvele märgitud järgneva kolmekuulise perioodi alguspäevale eelnev kalendripäev.</w:t>
      </w:r>
    </w:p>
    <w:p w14:paraId="6E4C7714" w14:textId="44BEFA7C"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3.7.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teavitab kindlustusvõtjat Statistikaameti avaldatud eelmise kalendriaasta keskmise kuubrutopalga muutumisest ning sellest tulenevalt kindlustusmakse suuruse muutumisest koos järgmise kindlustusvõtjale esitatava arvega.</w:t>
      </w:r>
    </w:p>
    <w:p w14:paraId="0681353A" w14:textId="77777777" w:rsidR="00B46906" w:rsidRPr="00A81BF7" w:rsidRDefault="00B46906" w:rsidP="00B46906">
      <w:pPr>
        <w:spacing w:line="300" w:lineRule="atLeast"/>
        <w:jc w:val="both"/>
        <w:textAlignment w:val="baseline"/>
        <w:rPr>
          <w:rFonts w:ascii="Times New Roman" w:eastAsia="Times New Roman" w:hAnsi="Times New Roman"/>
          <w:color w:val="202020"/>
          <w:bdr w:val="none" w:sz="0" w:space="0" w:color="auto" w:frame="1"/>
          <w:lang w:val="et-EE"/>
        </w:rPr>
      </w:pPr>
    </w:p>
    <w:p w14:paraId="25E3A865"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bdr w:val="none" w:sz="0" w:space="0" w:color="auto" w:frame="1"/>
          <w:lang w:val="et-EE"/>
        </w:rPr>
        <w:t>4. LEPINGU LÕPPEMINE, ÜLESÜTLEMINE JA TAGANEMINE</w:t>
      </w:r>
    </w:p>
    <w:p w14:paraId="29BFF89E"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4.1. Leping lõpeb lepingus kokkulepitud tähtpäeva saabumisel või päeval, kui kindlustatud isikul tekib sundkindlustuskaitse ravikindlustuse seaduse alusel või kui kindlustatud isikul tekib Eestis kindlustuskaitse </w:t>
      </w:r>
      <w:proofErr w:type="spellStart"/>
      <w:r w:rsidRPr="00A81BF7">
        <w:rPr>
          <w:rFonts w:ascii="Times New Roman" w:eastAsia="Times New Roman" w:hAnsi="Times New Roman"/>
          <w:color w:val="202020"/>
          <w:lang w:val="et-EE"/>
        </w:rPr>
        <w:t>välislepingu</w:t>
      </w:r>
      <w:proofErr w:type="spellEnd"/>
      <w:r w:rsidRPr="00A81BF7">
        <w:rPr>
          <w:rFonts w:ascii="Times New Roman" w:eastAsia="Times New Roman" w:hAnsi="Times New Roman"/>
          <w:color w:val="202020"/>
          <w:lang w:val="et-EE"/>
        </w:rPr>
        <w:t xml:space="preserve"> või muul alusel, või kui kindlustatud isik asub elama välisriiki. Kindlustatud isiku surma korral lõpeb leping kindlustatud isiku surmapäeval. </w:t>
      </w:r>
    </w:p>
    <w:p w14:paraId="44B19BA4" w14:textId="1BAAFEF4"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4.2. Lepingu lõppedes maksab </w:t>
      </w:r>
      <w:r w:rsidR="00290131">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kindlustusvõtja poolt ettemakstud kindlustusmakse tagasi lepingu sõlmimise avalduses märgitud arvelduskontole.</w:t>
      </w:r>
    </w:p>
    <w:p w14:paraId="6CACBF0A" w14:textId="33BC52C3"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4.3. Kindlustusvõtjal on õigus 14 kalendripäeva jooksul lepingu sõlmimisest arvates lepingust taganeda, esitades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kassale kirjaliku avalduse. Kui kindlustatud isik on enne lepingust taganemist saanud tüüptingimuste punktis 2.3 sätestatud ravikindlustushüvitisi, on </w:t>
      </w:r>
      <w:r w:rsidRPr="00A81BF7">
        <w:rPr>
          <w:rFonts w:ascii="Times New Roman" w:eastAsia="Times New Roman" w:hAnsi="Times New Roman"/>
          <w:color w:val="202020"/>
          <w:lang w:val="et-EE"/>
        </w:rPr>
        <w:lastRenderedPageBreak/>
        <w:t xml:space="preserve">kindlustusvõtja kohustatud need </w:t>
      </w:r>
      <w:r w:rsidR="00290131">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kassale hüvitama. Kui kindlustusvõtja on enne lepingust taganemist tasunud esimese kindlustusmakse, maksab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selle kindlustusvõtjale tagasi lepingu sõlmimise avalduses märgitud arvelduskontole.</w:t>
      </w:r>
    </w:p>
    <w:p w14:paraId="3A29C204" w14:textId="19C5E75E" w:rsidR="00B46906" w:rsidRPr="00A81BF7" w:rsidRDefault="00B46906" w:rsidP="00B46906">
      <w:pPr>
        <w:spacing w:line="300" w:lineRule="atLeast"/>
        <w:jc w:val="both"/>
        <w:textAlignment w:val="baseline"/>
        <w:rPr>
          <w:rFonts w:ascii="Times New Roman" w:eastAsia="Times New Roman" w:hAnsi="Times New Roman"/>
          <w:color w:val="202020"/>
          <w:lang w:val="et-EE"/>
        </w:rPr>
      </w:pPr>
      <w:bookmarkStart w:id="1" w:name="_Hlk18930573"/>
      <w:r w:rsidRPr="00A81BF7">
        <w:rPr>
          <w:rFonts w:ascii="Times New Roman" w:eastAsia="Times New Roman" w:hAnsi="Times New Roman"/>
          <w:color w:val="202020"/>
          <w:lang w:val="et-EE"/>
        </w:rPr>
        <w:t xml:space="preserve">4.4. Kui kindlustusvõtja ei ole tähtaegselt tasunud kindlustusmakset või esimest kindlustusmakset tüüptingimuste punktis 3.5 sätestatud 14-päevase tähtaja jooksul, on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 õigus lepingust taganeda. Kui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 lepingust taganeb ja kindlustatud isik on enne lepingust taganemist saanud tüüptingimuste punktis 2.3 sätestatud ravikindlustushüvitisi, on kindlustusvõtja kohustatud need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kassale hüvitama.</w:t>
      </w:r>
    </w:p>
    <w:bookmarkEnd w:id="1"/>
    <w:p w14:paraId="6F04F622" w14:textId="312E2461"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4.5. Kui kindlustusvõtja ei ole tähtaegselt tasunud järgnevaid kindlustusmakseid, loetakse leping kindlustusmakse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 poolt määratud täiendavaks maksetähtpäevaks tasumata jätmisel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poolt ülesöelduks.</w:t>
      </w:r>
    </w:p>
    <w:p w14:paraId="2C6358A9" w14:textId="116F4A3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4.6.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 võib lepingust taganeda ühe kuu jooksul arvates päevast, mil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 sai teada või pidi teada saama, et kindlustusvõtja on teadvalt jätnud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kassale teatamata tüüptingimuste punktis 1.2 nimetatud asjaoludest või teadvalt esitanud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kassale lepingu sõlmimise avaldusel valeandmeid.</w:t>
      </w:r>
    </w:p>
    <w:p w14:paraId="7A4D0ADB" w14:textId="5C1808E2"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4.7. Kui kindlustusvõtja rikub temast tuleneva asjaolu tõttu oluliselt lepinguga ettenähtud kohustust, võib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lepingu ette teatamata üles öelda 1 (ühe) kuu jooksul rikkumisest teadasaamisest, kui seaduses ei ole sätestatud teisiti.</w:t>
      </w:r>
    </w:p>
    <w:p w14:paraId="78A66DFD" w14:textId="06888C7B"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4.8.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 või kindlustusvõtja võib lepingu üles öelda mõjuval põhjusel, eelkõige siis, kui ülesütlevalt lepingupoolelt ei või kõiki asjaolusid ja mõlemapoolset huvi arvestades mõistlikult nõuda lepingu jätkamist lepingu lõppemise tähtaja saabumiseni. Ülesütlemisest tuleb teist lepingupoolt kirjalikult teavitada vähemalt 30 (kolmkümmend) kalendripäeva ette.</w:t>
      </w:r>
    </w:p>
    <w:p w14:paraId="23D67B9F"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4.9. Kui leping lõpetatakse ülesütlemisega ennetähtaegselt ja kuni ülesütlemiseni on kindlustatud isikul olnud kindlustuskaitse, on kindlustusvõtja kohustatud tasuma kindlustusmakseid kuni lepingu lõppemiseni.</w:t>
      </w:r>
    </w:p>
    <w:p w14:paraId="76514E36"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4.10. Lepingu lõppemine lõpetab kindlustuskaitse. </w:t>
      </w:r>
    </w:p>
    <w:p w14:paraId="28326A73"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p>
    <w:p w14:paraId="312A88EF" w14:textId="77777777" w:rsidR="00B46906" w:rsidRPr="00A81BF7" w:rsidRDefault="00B46906" w:rsidP="00B46906">
      <w:pPr>
        <w:spacing w:line="300" w:lineRule="atLeast"/>
        <w:jc w:val="both"/>
        <w:textAlignment w:val="baseline"/>
        <w:rPr>
          <w:rFonts w:ascii="Times New Roman" w:eastAsia="Times New Roman" w:hAnsi="Times New Roman"/>
          <w:b/>
          <w:color w:val="202020"/>
          <w:lang w:val="et-EE"/>
        </w:rPr>
      </w:pPr>
      <w:r w:rsidRPr="00A81BF7">
        <w:rPr>
          <w:rFonts w:ascii="Times New Roman" w:eastAsia="Times New Roman" w:hAnsi="Times New Roman"/>
          <w:b/>
          <w:color w:val="202020"/>
          <w:lang w:val="et-EE"/>
        </w:rPr>
        <w:t>5. LÕPPSÄTTED</w:t>
      </w:r>
    </w:p>
    <w:p w14:paraId="47D3F36B"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5.1. Kui kindlustatud isik loobub talle lepinguga antud õigustest või kui tema õigus lõpeb või ei kehti, siis ei või kindlustusvõtja määrata uut kindlustatud isikut ega nõuda lepingu alusel kohustuse täitmist endale.</w:t>
      </w:r>
    </w:p>
    <w:p w14:paraId="292E2B5C" w14:textId="0C28EFA9"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5.2.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 on õigus õigusaktides sätestatud juhtudel nõuda kindlustusvõtjalt, kindlustatud isikult, kolmandatelt isikutelt ning riigi- ja kohaliku omavalitsuse üksuse asutustelt andmeid, sh eriliiki isikuandmeid ning muid andmeid, kui need andmed on vajalikud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kassale seadusega või lepinguga pandud ülesannete täitmiseks.</w:t>
      </w:r>
    </w:p>
    <w:p w14:paraId="6B4239F1" w14:textId="394E032B"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5.3. Kindlustusvõtja teatab </w:t>
      </w:r>
      <w:r w:rsidR="00BA6C16">
        <w:rPr>
          <w:rFonts w:ascii="Times New Roman" w:eastAsia="Times New Roman" w:hAnsi="Times New Roman"/>
          <w:color w:val="202020"/>
          <w:lang w:val="et-EE"/>
        </w:rPr>
        <w:t>Tervise</w:t>
      </w:r>
      <w:r w:rsidRPr="00A81BF7">
        <w:rPr>
          <w:rFonts w:ascii="Times New Roman" w:eastAsia="Times New Roman" w:hAnsi="Times New Roman"/>
          <w:color w:val="202020"/>
          <w:lang w:val="et-EE"/>
        </w:rPr>
        <w:t xml:space="preserve">kassale viivitamata kindlustatud isiku ravikindlustuskaitse saamisest teises Euroopa Liidu liikmesriigis, Suurbritannias, Islandil, Liechtensteinis, Norras või Šveitsis. </w:t>
      </w:r>
    </w:p>
    <w:p w14:paraId="66B5C45D" w14:textId="388469A2"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 xml:space="preserve">5.4. Kindlustusvõtja teatab </w:t>
      </w:r>
      <w:r w:rsidR="00290131">
        <w:rPr>
          <w:rFonts w:ascii="Times New Roman" w:eastAsia="Times New Roman" w:hAnsi="Times New Roman"/>
          <w:color w:val="202020"/>
          <w:lang w:val="et-EE"/>
        </w:rPr>
        <w:t>Tervise</w:t>
      </w:r>
      <w:r w:rsidRPr="00A81BF7">
        <w:rPr>
          <w:rFonts w:ascii="Times New Roman" w:eastAsia="Times New Roman" w:hAnsi="Times New Roman"/>
          <w:color w:val="202020"/>
          <w:lang w:val="et-EE"/>
        </w:rPr>
        <w:t>kassale viivitamata kindlustusvõtja ja kindlustatud isiku lepingus märgitud kontaktandmete ja lepingu sõlmimise avalduses märgitud arvelduskonto muutumisest.</w:t>
      </w:r>
    </w:p>
    <w:p w14:paraId="663B20B0" w14:textId="77777777" w:rsidR="00B46906" w:rsidRPr="00A81BF7" w:rsidRDefault="00B46906" w:rsidP="00B46906">
      <w:pPr>
        <w:spacing w:line="300" w:lineRule="atLeast"/>
        <w:jc w:val="both"/>
        <w:textAlignment w:val="baseline"/>
        <w:rPr>
          <w:rFonts w:ascii="Times New Roman" w:eastAsia="Times New Roman" w:hAnsi="Times New Roman"/>
          <w:color w:val="202020"/>
          <w:lang w:val="et-EE"/>
        </w:rPr>
      </w:pPr>
      <w:r w:rsidRPr="00A81BF7">
        <w:rPr>
          <w:rFonts w:ascii="Times New Roman" w:eastAsia="Times New Roman" w:hAnsi="Times New Roman"/>
          <w:color w:val="202020"/>
          <w:lang w:val="et-EE"/>
        </w:rPr>
        <w:t>5.5. Lepingule kohaldatakse võlaõigusseaduse sätteid, mis reguleerivad kindlustuslepingut niivõrd, kuivõrd need ei ole vastuolus ravikindlustuse seaduses sätestatuga. Lepingule ei kohaldata kindlustustegevuse seaduses sätestatut.</w:t>
      </w:r>
    </w:p>
    <w:p w14:paraId="0561F847" w14:textId="77777777" w:rsidR="00A449ED" w:rsidRDefault="00A449ED"/>
    <w:sectPr w:rsidR="00A4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06"/>
    <w:rsid w:val="00290131"/>
    <w:rsid w:val="009354B1"/>
    <w:rsid w:val="00A449ED"/>
    <w:rsid w:val="00B46906"/>
    <w:rsid w:val="00BA6C16"/>
    <w:rsid w:val="00DD28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E9E"/>
  <w15:chartTrackingRefBased/>
  <w15:docId w15:val="{2CF9E5C1-A33C-40AF-93D1-95D2442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06"/>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06"/>
    <w:pPr>
      <w:spacing w:after="0" w:line="240" w:lineRule="auto"/>
    </w:pPr>
    <w:rPr>
      <w:rFonts w:ascii="Calibri" w:eastAsia="Calibri" w:hAnsi="Calibri" w:cs="Times New Roman"/>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4343d51-a9c9-44da-a63a-40ad8694eb6b">
      <Terms xmlns="http://schemas.microsoft.com/office/infopath/2007/PartnerControls"/>
    </lcf76f155ced4ddcb4097134ff3c332f>
    <TaxCatchAll xmlns="c2c4d141-ab11-4653-b403-c5bbdfa156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37EFAC2F84C84BBA0BF70703DCA6FB" ma:contentTypeVersion="18" ma:contentTypeDescription="Loo uus dokument" ma:contentTypeScope="" ma:versionID="479d1b5a0f34dbf0db4325273184e69f">
  <xsd:schema xmlns:xsd="http://www.w3.org/2001/XMLSchema" xmlns:xs="http://www.w3.org/2001/XMLSchema" xmlns:p="http://schemas.microsoft.com/office/2006/metadata/properties" xmlns:ns1="http://schemas.microsoft.com/sharepoint/v3" xmlns:ns2="a4343d51-a9c9-44da-a63a-40ad8694eb6b" xmlns:ns3="c2c4d141-ab11-4653-b403-c5bbdfa156ef" targetNamespace="http://schemas.microsoft.com/office/2006/metadata/properties" ma:root="true" ma:fieldsID="877f92fb0d536420e08392fdb8583bc9" ns1:_="" ns2:_="" ns3:_="">
    <xsd:import namespace="http://schemas.microsoft.com/sharepoint/v3"/>
    <xsd:import namespace="a4343d51-a9c9-44da-a63a-40ad8694eb6b"/>
    <xsd:import namespace="c2c4d141-ab11-4653-b403-c5bbdfa156e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Ühtse nõuetele vastavuse poliitika atribuudid" ma:hidden="true" ma:internalName="_ip_UnifiedCompliancePolicyProperties">
      <xsd:simpleType>
        <xsd:restriction base="dms:Note"/>
      </xsd:simpleType>
    </xsd:element>
    <xsd:element name="_ip_UnifiedCompliancePolicyUIAction" ma:index="9"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3d51-a9c9-44da-a63a-40ad8694eb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4d141-ab11-4653-b403-c5bbdfa156ef"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5" nillable="true" ma:displayName="Taxonomy Catch All Column" ma:hidden="true" ma:list="{60b43719-68e1-4132-9c61-5db0427a2149}" ma:internalName="TaxCatchAll" ma:showField="CatchAllData" ma:web="c2c4d141-ab11-4653-b403-c5bbdfa15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7E84D-6A27-487C-9BCF-DCAB0F9790DD}">
  <ds:schemaRefs>
    <ds:schemaRef ds:uri="http://schemas.microsoft.com/sharepoint/v3/contenttype/forms"/>
  </ds:schemaRefs>
</ds:datastoreItem>
</file>

<file path=customXml/itemProps2.xml><?xml version="1.0" encoding="utf-8"?>
<ds:datastoreItem xmlns:ds="http://schemas.openxmlformats.org/officeDocument/2006/customXml" ds:itemID="{BE3C49A7-04F3-4897-8517-B9821C5DC1A7}">
  <ds:schemaRefs>
    <ds:schemaRef ds:uri="http://schemas.microsoft.com/office/2006/metadata/properties"/>
    <ds:schemaRef ds:uri="http://schemas.microsoft.com/office/infopath/2007/PartnerControls"/>
    <ds:schemaRef ds:uri="http://schemas.microsoft.com/sharepoint/v3"/>
    <ds:schemaRef ds:uri="a4343d51-a9c9-44da-a63a-40ad8694eb6b"/>
    <ds:schemaRef ds:uri="c2c4d141-ab11-4653-b403-c5bbdfa156ef"/>
  </ds:schemaRefs>
</ds:datastoreItem>
</file>

<file path=customXml/itemProps3.xml><?xml version="1.0" encoding="utf-8"?>
<ds:datastoreItem xmlns:ds="http://schemas.openxmlformats.org/officeDocument/2006/customXml" ds:itemID="{5DF5891C-C3DB-41C3-A11C-91AA5113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43d51-a9c9-44da-a63a-40ad8694eb6b"/>
    <ds:schemaRef ds:uri="c2c4d141-ab11-4653-b403-c5bbdfa1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Liitmäe</dc:creator>
  <cp:keywords/>
  <dc:description/>
  <cp:lastModifiedBy>Liina Kaddarpik</cp:lastModifiedBy>
  <cp:revision>2</cp:revision>
  <dcterms:created xsi:type="dcterms:W3CDTF">2023-03-08T13:16:00Z</dcterms:created>
  <dcterms:modified xsi:type="dcterms:W3CDTF">2023-03-08T13:16:00Z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0x010100D137EFAC2F84C84BBA0BF70703DCA6FB</vt:lpwstr>
  </property>
  <property fmtid="{D5CDD505-2E9C-101B-9397-08002B2CF9AE}" pid="3" name="Order">
    <vt:r8>1000</vt:r8>
  </property>
  <property fmtid="{D5CDD505-2E9C-101B-9397-08002B2CF9AE}" pid="4" name="MediaServiceImageTags">
    <vt:lpwstr/>
  </property>
</Properties>
</file>